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Курбанова </w:t>
      </w:r>
      <w:r>
        <w:rPr>
          <w:rFonts w:ascii="Times New Roman" w:eastAsia="Times New Roman" w:hAnsi="Times New Roman" w:cs="Times New Roman"/>
          <w:sz w:val="28"/>
          <w:szCs w:val="28"/>
        </w:rPr>
        <w:t>Патимат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Ганапиевна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 г. 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Курбанова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уплатила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000.00 рублей, назначенный на основании постановления по делу об административном правонарушении № 035</w:t>
      </w:r>
      <w:r>
        <w:rPr>
          <w:rFonts w:ascii="Times New Roman" w:eastAsia="Times New Roman" w:hAnsi="Times New Roman" w:cs="Times New Roman"/>
          <w:sz w:val="28"/>
          <w:szCs w:val="28"/>
        </w:rPr>
        <w:t>6043010123</w:t>
      </w:r>
      <w:r>
        <w:rPr>
          <w:rFonts w:ascii="Times New Roman" w:eastAsia="Times New Roman" w:hAnsi="Times New Roman" w:cs="Times New Roman"/>
          <w:sz w:val="28"/>
          <w:szCs w:val="28"/>
        </w:rPr>
        <w:t>112002018110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20.11.2023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Курбанова П.Г.,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адлежаще извещен о времени и месте рассмотрения дела/судебная повестка/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заявлений о рассмотрении дела в 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конверт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отметкой «Истек срок хранения».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извещением, оно в зависимости от конкретных обстоятельств дела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Курбанова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Курбановой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Курбановой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0356043010123112002018110 от 20.11.2023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ч.5 ст.12.16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Курбановой П.Г. судья квалифицирует по ч. 1 ст. 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привлеченного к административной ответственности и приходит к выводу необходимым назначить наказание в виде административного 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Курбанову </w:t>
      </w:r>
      <w:r>
        <w:rPr>
          <w:rFonts w:ascii="Times New Roman" w:eastAsia="Times New Roman" w:hAnsi="Times New Roman" w:cs="Times New Roman"/>
          <w:sz w:val="28"/>
          <w:szCs w:val="28"/>
        </w:rPr>
        <w:t>Патимат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Ганапиевну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000.00 руб. / 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Курбановой П.Г.,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22420119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10" w:right="10" w:firstLine="710"/>
        <w:jc w:val="both"/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3184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7">
    <w:name w:val="cat-User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16D6-589F-4243-A3C1-BEAAF421746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